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DD" w:rsidRPr="00A855DD" w:rsidRDefault="00A855DD" w:rsidP="00A855D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A855DD">
        <w:rPr>
          <w:rFonts w:ascii="Times New Roman" w:hAnsi="Times New Roman"/>
          <w:b/>
          <w:sz w:val="26"/>
          <w:szCs w:val="26"/>
        </w:rPr>
        <w:t>О  характере обращений  граждан, поступивших в  администрацию  Анивского городского округа за 9 месяцев 2014 года.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          Работа с обращениями граждан в администрации Анивского городского округа организована и осуществляется в соответствии с федеральными законами от 02.05.2006 №59-ФЗ «О порядке рассмотрения обращений граждан Российской Федерации», от 09.02.2009 №8-ФЗ «Об обеспечении доступа к информации о деятельности государственных органов и органов местного самоуправления».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За отчетный период  в администрацию городского округа поступило  386 обращений граждан.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06"/>
        <w:gridCol w:w="2101"/>
        <w:gridCol w:w="1980"/>
        <w:gridCol w:w="1683"/>
      </w:tblGrid>
      <w:tr w:rsidR="00A855DD" w:rsidRPr="00A855DD" w:rsidTr="00E16F38">
        <w:trPr>
          <w:jc w:val="center"/>
        </w:trPr>
        <w:tc>
          <w:tcPr>
            <w:tcW w:w="3806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 xml:space="preserve"> Форма обращений:</w:t>
            </w:r>
          </w:p>
        </w:tc>
        <w:tc>
          <w:tcPr>
            <w:tcW w:w="2101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9 месяцев  2013</w:t>
            </w:r>
          </w:p>
        </w:tc>
        <w:tc>
          <w:tcPr>
            <w:tcW w:w="1980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9 месяцев 2014</w:t>
            </w:r>
          </w:p>
        </w:tc>
        <w:tc>
          <w:tcPr>
            <w:tcW w:w="168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Динамика %</w:t>
            </w:r>
          </w:p>
        </w:tc>
      </w:tr>
      <w:tr w:rsidR="00A855DD" w:rsidRPr="00A855DD" w:rsidTr="00E16F38">
        <w:trPr>
          <w:jc w:val="center"/>
        </w:trPr>
        <w:tc>
          <w:tcPr>
            <w:tcW w:w="3806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Письменные:</w:t>
            </w:r>
          </w:p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в том числе через интернет приемную</w:t>
            </w:r>
          </w:p>
        </w:tc>
        <w:tc>
          <w:tcPr>
            <w:tcW w:w="2101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359</w:t>
            </w:r>
          </w:p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0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289</w:t>
            </w:r>
          </w:p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8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-19</w:t>
            </w:r>
          </w:p>
        </w:tc>
      </w:tr>
      <w:tr w:rsidR="00A855DD" w:rsidRPr="00A855DD" w:rsidTr="00E16F38">
        <w:trPr>
          <w:jc w:val="center"/>
        </w:trPr>
        <w:tc>
          <w:tcPr>
            <w:tcW w:w="3806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 xml:space="preserve"> Устные обращения граждан, полученные в ходе личного приема граждан   и выездных встреч.</w:t>
            </w:r>
          </w:p>
        </w:tc>
        <w:tc>
          <w:tcPr>
            <w:tcW w:w="2101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980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68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-9</w:t>
            </w:r>
          </w:p>
        </w:tc>
      </w:tr>
    </w:tbl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В целом количество поступивших обращений снизилось  на   17 % процентов,  по сравнению с АППГ.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Все поступившие обращения граждан зарегистрированы и рассмотрены в администрации городского округа.  Из них по 12-ти устным обращениям  должностными лицами администрации даны разъяснения во время проведения личных приемов. Остальные обращения взяты на контроль.   На 319  поступивших обращений направлены письменные ответы, 24 обращения находятся на рассмотрении.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Характер обращений поступивших в администрацию городского округа за 1 полугодие 2014г.</w:t>
      </w:r>
      <w:proofErr w:type="gramStart"/>
      <w:r w:rsidRPr="00A855DD"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50"/>
        <w:gridCol w:w="1905"/>
        <w:gridCol w:w="1905"/>
        <w:gridCol w:w="1905"/>
        <w:gridCol w:w="1905"/>
      </w:tblGrid>
      <w:tr w:rsidR="00A855DD" w:rsidRPr="00A855DD" w:rsidTr="00E16F38">
        <w:trPr>
          <w:jc w:val="center"/>
        </w:trPr>
        <w:tc>
          <w:tcPr>
            <w:tcW w:w="1950" w:type="dxa"/>
            <w:vMerge w:val="restart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0" w:type="dxa"/>
            <w:gridSpan w:val="2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9 месяцев  2013</w:t>
            </w:r>
          </w:p>
        </w:tc>
        <w:tc>
          <w:tcPr>
            <w:tcW w:w="3810" w:type="dxa"/>
            <w:gridSpan w:val="2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9 месяцев 2014</w:t>
            </w:r>
          </w:p>
        </w:tc>
      </w:tr>
      <w:tr w:rsidR="00A855DD" w:rsidRPr="00A855DD" w:rsidTr="00E16F38">
        <w:trPr>
          <w:jc w:val="center"/>
        </w:trPr>
        <w:tc>
          <w:tcPr>
            <w:tcW w:w="1950" w:type="dxa"/>
            <w:vMerge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% от общего количества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% от общего количества</w:t>
            </w:r>
          </w:p>
        </w:tc>
      </w:tr>
      <w:tr w:rsidR="00A855DD" w:rsidRPr="00A855DD" w:rsidTr="00E16F38">
        <w:trPr>
          <w:jc w:val="center"/>
        </w:trPr>
        <w:tc>
          <w:tcPr>
            <w:tcW w:w="1950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жалоба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855DD" w:rsidRPr="00A855DD" w:rsidTr="00E16F38">
        <w:trPr>
          <w:jc w:val="center"/>
        </w:trPr>
        <w:tc>
          <w:tcPr>
            <w:tcW w:w="1950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A855DD" w:rsidRPr="00A855DD" w:rsidTr="00E16F38">
        <w:trPr>
          <w:jc w:val="center"/>
        </w:trPr>
        <w:tc>
          <w:tcPr>
            <w:tcW w:w="1950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855DD" w:rsidRPr="00A855DD" w:rsidTr="00E16F38">
        <w:trPr>
          <w:jc w:val="center"/>
        </w:trPr>
        <w:tc>
          <w:tcPr>
            <w:tcW w:w="1950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855DD" w:rsidRPr="00A855DD" w:rsidTr="00E16F38">
        <w:trPr>
          <w:jc w:val="center"/>
        </w:trPr>
        <w:tc>
          <w:tcPr>
            <w:tcW w:w="1950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коллективное обращение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855DD" w:rsidRPr="00A855DD" w:rsidTr="00E16F38">
        <w:trPr>
          <w:jc w:val="center"/>
        </w:trPr>
        <w:tc>
          <w:tcPr>
            <w:tcW w:w="1950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повторное обращение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05" w:type="dxa"/>
          </w:tcPr>
          <w:p w:rsidR="00A855DD" w:rsidRPr="00A855DD" w:rsidRDefault="00A855DD" w:rsidP="00E16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</w:tbl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</w:t>
      </w:r>
      <w:r w:rsidRPr="00A855DD">
        <w:rPr>
          <w:rFonts w:ascii="Times New Roman" w:hAnsi="Times New Roman"/>
          <w:sz w:val="26"/>
          <w:szCs w:val="26"/>
        </w:rPr>
        <w:tab/>
        <w:t>В числе заявителей, обратившихся в администрацию городского округа в отчетном периоде: 51</w:t>
      </w:r>
      <w:r w:rsidRPr="00A855DD">
        <w:rPr>
          <w:rFonts w:ascii="Times New Roman" w:hAnsi="Times New Roman"/>
          <w:b/>
          <w:sz w:val="26"/>
          <w:szCs w:val="26"/>
        </w:rPr>
        <w:t xml:space="preserve"> </w:t>
      </w:r>
      <w:r w:rsidRPr="00A855DD">
        <w:rPr>
          <w:rFonts w:ascii="Times New Roman" w:hAnsi="Times New Roman"/>
          <w:sz w:val="26"/>
          <w:szCs w:val="26"/>
        </w:rPr>
        <w:t>пенсионер, 10 инвалидов различных групп, 17 многодетных семей.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В обращениях указанных  заявителей содержались вопросы: коммунального характера,  благоустройства,  содержания и ремонта улично-дорожной сети,  улучшения жилищных условий и выделения земельных участков многодетным семьям.  </w:t>
      </w:r>
    </w:p>
    <w:p w:rsidR="00A855DD" w:rsidRPr="00A855DD" w:rsidRDefault="00A855DD" w:rsidP="00A855DD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Анализ обращений по темам вопросов:</w:t>
      </w: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992"/>
        <w:gridCol w:w="1559"/>
        <w:gridCol w:w="851"/>
        <w:gridCol w:w="1544"/>
      </w:tblGrid>
      <w:tr w:rsidR="00A855DD" w:rsidRPr="00A855DD" w:rsidTr="00E16F38">
        <w:trPr>
          <w:trHeight w:val="337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lastRenderedPageBreak/>
              <w:t>Темы вопросов:</w:t>
            </w:r>
          </w:p>
        </w:tc>
        <w:tc>
          <w:tcPr>
            <w:tcW w:w="992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59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% от общего количества</w:t>
            </w:r>
          </w:p>
        </w:tc>
        <w:tc>
          <w:tcPr>
            <w:tcW w:w="851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544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% от общего количества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Государство, общество, политика: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A855DD" w:rsidRPr="00A855DD" w:rsidTr="00E16F38">
        <w:trPr>
          <w:trHeight w:val="337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Обращения, заявления и жалобы граждан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A855DD" w:rsidRPr="00A855DD" w:rsidTr="00E16F38">
        <w:trPr>
          <w:trHeight w:val="337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Оборона, безопасность, законность: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A855DD" w:rsidRPr="00A855DD" w:rsidTr="00E16F38">
        <w:trPr>
          <w:trHeight w:val="337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Жилищно-коммунальная сфера. Жилище: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277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181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48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Pr="00A855DD">
              <w:rPr>
                <w:rFonts w:ascii="Times New Roman" w:hAnsi="Times New Roman"/>
                <w:sz w:val="24"/>
                <w:szCs w:val="24"/>
              </w:rPr>
              <w:t>,</w:t>
            </w: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A855DD" w:rsidRPr="00A855DD" w:rsidTr="00E16F38">
        <w:trPr>
          <w:trHeight w:val="337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Обеспечение граждан жилищем, пользование жилищным фондом, социальные гарантии в жилищной сфере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A855DD" w:rsidRPr="00A855DD" w:rsidRDefault="00A855DD" w:rsidP="00A85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A855DD" w:rsidRPr="00A855DD" w:rsidTr="00E16F38">
        <w:trPr>
          <w:trHeight w:val="337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Социальная сфера. Здравоохранение. Физическая культура и спорт. Туризм: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0,6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0.2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0.2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Социальная сфера. Образование. Наука. Культура</w:t>
            </w:r>
            <w:proofErr w:type="gramStart"/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.:</w:t>
            </w:r>
            <w:proofErr w:type="gramEnd"/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3,2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855DD">
              <w:rPr>
                <w:rFonts w:ascii="Times New Roman" w:hAnsi="Times New Roman"/>
                <w:sz w:val="24"/>
                <w:szCs w:val="24"/>
              </w:rPr>
              <w:t>,</w:t>
            </w: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Социальная сфера. Семья.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0,4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Социальная сфера. Социальное обеспечение и социальное страхование.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Социальная сфера. Труд и занятость населения.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Трудоустройство и занятость населения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Экономика. Природные ресурсы и охрана окружающей природной среды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0,2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Экономика. Хозяйственная деятельность в том числе: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106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106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27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Бытовое обслуживание населения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855DD">
              <w:rPr>
                <w:rFonts w:ascii="Times New Roman" w:hAnsi="Times New Roman"/>
                <w:sz w:val="24"/>
                <w:szCs w:val="24"/>
              </w:rPr>
              <w:t>,</w:t>
            </w: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Градостроительство и архитектура.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Имущественные и земельные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7,7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</w:tc>
      </w:tr>
      <w:tr w:rsidR="00A855DD" w:rsidRPr="00A855DD" w:rsidTr="00E16F38">
        <w:trPr>
          <w:trHeight w:val="349"/>
          <w:jc w:val="center"/>
        </w:trPr>
        <w:tc>
          <w:tcPr>
            <w:tcW w:w="4503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 xml:space="preserve">Вопросы, не вошедшие </w:t>
            </w:r>
            <w:proofErr w:type="gramStart"/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A855DD">
              <w:rPr>
                <w:rFonts w:ascii="Times New Roman" w:hAnsi="Times New Roman"/>
                <w:b/>
                <w:sz w:val="24"/>
                <w:szCs w:val="24"/>
              </w:rPr>
              <w:t xml:space="preserve"> классификатор</w:t>
            </w:r>
          </w:p>
        </w:tc>
        <w:tc>
          <w:tcPr>
            <w:tcW w:w="992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:rsidR="00A855DD" w:rsidRPr="00A855DD" w:rsidRDefault="00A855DD" w:rsidP="00A855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5D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Из анализа тематики обращений следует, что в отчетном периоде наиболее часто граждане обращались по вопросам коммунальной сферы – это  работа управляющих компаний, ненадлежащее содержание общего имущества (канализация, вентиляция, кровля, ограждающие конструкции, инженерное оборудование, места общего пользования, придомовая территория), предоставление коммунальных услуг ненадлежащего качества (водоснабжение, отопление, канализация).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A855DD">
        <w:rPr>
          <w:rFonts w:ascii="Times New Roman" w:hAnsi="Times New Roman"/>
          <w:sz w:val="26"/>
          <w:szCs w:val="26"/>
        </w:rPr>
        <w:lastRenderedPageBreak/>
        <w:t xml:space="preserve">Анализ содержания показал, что основными причинами обращений по указанной тематике являются:  получение разъяснений в сфере оплаты коммунальных услуг, формирования  тарифов на содержание и ремонт жилья, необходимость проведения текущего и капитального ремонтов жилищного фонда (инженерных и коммунальных сетей, кровель), недовольство работой управляющих  и </w:t>
      </w:r>
      <w:proofErr w:type="spellStart"/>
      <w:r w:rsidRPr="00A855DD">
        <w:rPr>
          <w:rFonts w:ascii="Times New Roman" w:hAnsi="Times New Roman"/>
          <w:sz w:val="26"/>
          <w:szCs w:val="26"/>
        </w:rPr>
        <w:t>ресурсоснабжающих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компаний,  представление  коммунальных услуг в недостаточном объеме (вода, тепло),  необходимость ремонта квартир, находящихся в муниципальном и ведомственном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 жилищном </w:t>
      </w:r>
      <w:proofErr w:type="gramStart"/>
      <w:r w:rsidRPr="00A855DD">
        <w:rPr>
          <w:rFonts w:ascii="Times New Roman" w:hAnsi="Times New Roman"/>
          <w:sz w:val="26"/>
          <w:szCs w:val="26"/>
        </w:rPr>
        <w:t>фонде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, жалобы на некачественно произведенный ремонт многоквартирных жилых домов.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Вместе с тем, за отчетный период наблюдается снижение  количества обращений   на 25%  - 107 обращений за отчетный период против 142 обращений в АППГ.   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Для снижения напряженности среди населения по вопросам коммунального хозяйства администрацией городского округа проводилась регулярная планомерная работа. В рамках  различных программных и внепрограммных мероприятий  произведены: капитальный ремонт кровель 12-ти  жилых домов, замена уличного освещения, ремонт дворовых территорий и дорожного полотна.   Управлением </w:t>
      </w:r>
      <w:proofErr w:type="spellStart"/>
      <w:r w:rsidRPr="00A855DD">
        <w:rPr>
          <w:rFonts w:ascii="Times New Roman" w:hAnsi="Times New Roman"/>
          <w:sz w:val="26"/>
          <w:szCs w:val="26"/>
        </w:rPr>
        <w:t>ЖКХиДХ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регулярно   проводились   «прямые» телефонные линии с гражданами по вопросам предоставления  </w:t>
      </w:r>
      <w:proofErr w:type="spellStart"/>
      <w:r w:rsidRPr="00A855DD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и управляющими организациями коммунальных услуг населению и оплаты  жилищно-коммунальных услуг.  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Актуальной продолжает оставаться проблема обеспечения граждан жильем, в отчетном периоде зарегистрировано 74  подобных обращений, вместе с тем это на  45% меньше поступивших  за 9 месяцев  2013 .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Основные вопросы   в  жилищной сфере, распределены   по следующим тематикам: обеспечение граждан жилищем, пользование жилищным фондом, социальные гарантии в жилищной сфере (за исключением права собственности на жилище), переселение из подвалов, бараков, общежитий, аварийных домов, ветхого жилья, улучшение жилищных условий и предоставление жилых помещений по договору социального найма.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Причинами  указанных обращений являются:  потребность в переселении из  ветхого и аварийного  жилого фонда,  предоставлении жилья гражданам стоящим на учете в качестве нуждающихся в  жилом помещении, предоставлении  временного жилого помещения по договору социального найма, </w:t>
      </w:r>
      <w:proofErr w:type="gramStart"/>
      <w:r w:rsidRPr="00A855DD">
        <w:rPr>
          <w:rFonts w:ascii="Times New Roman" w:hAnsi="Times New Roman"/>
          <w:sz w:val="26"/>
          <w:szCs w:val="26"/>
        </w:rPr>
        <w:t>гражданам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 постоянно проживающим на территории округа и вновь прибившим, а также обусловлены необходимостью обследования жилого фонда на предмет пригодности для проживания.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Для снижения напряженности в жилищной сфере на территории городского округа действует ряд  программ:  </w:t>
      </w:r>
      <w:proofErr w:type="gramStart"/>
      <w:r w:rsidRPr="00A855DD">
        <w:rPr>
          <w:rFonts w:ascii="Times New Roman" w:hAnsi="Times New Roman"/>
          <w:sz w:val="26"/>
          <w:szCs w:val="26"/>
        </w:rPr>
        <w:t xml:space="preserve">Государственная программа «Обеспечение населения Сахалинской области качественным жильем на 2014-2020годы.», утвержденная постановлением Правительства Сахалинской области № 428 от 06.08.2013г., «Переселение граждан Анивского городского округа из ветхого и </w:t>
      </w:r>
      <w:r w:rsidRPr="00A855DD">
        <w:rPr>
          <w:rFonts w:ascii="Times New Roman" w:hAnsi="Times New Roman"/>
          <w:sz w:val="26"/>
          <w:szCs w:val="26"/>
        </w:rPr>
        <w:lastRenderedPageBreak/>
        <w:t xml:space="preserve">аварийного жилищного фонда в 2005 - 2015 годах», «Повышение </w:t>
      </w:r>
      <w:proofErr w:type="spellStart"/>
      <w:r w:rsidRPr="00A855DD">
        <w:rPr>
          <w:rFonts w:ascii="Times New Roman" w:hAnsi="Times New Roman"/>
          <w:sz w:val="26"/>
          <w:szCs w:val="26"/>
        </w:rPr>
        <w:t>сейсмоустойчивости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жилых домов, основных объектов и систем жизнеобеспечения в МО «Анивский городской округ» на 2009-2013 годы и на период до 2017 года»,  муниципальная программа «Развитие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 жилищного строительства», </w:t>
      </w:r>
      <w:proofErr w:type="gramStart"/>
      <w:r w:rsidRPr="00A855DD">
        <w:rPr>
          <w:rFonts w:ascii="Times New Roman" w:hAnsi="Times New Roman"/>
          <w:sz w:val="26"/>
          <w:szCs w:val="26"/>
        </w:rPr>
        <w:t>утвержденная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 постановление администрации от 29.05.2014 г. № 770-па 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По итогам отчетного периода зафиксирован рост обращений в сфере имущественных и земельных отношений  (49 и 36 обращений соответственно). Ввиду близости к областному центру и инвестиционной привлекательности района, актуальными остаются вопросы  предоставления земельных участков для индивидуального жилищного строительства и строительства  иных объектов на территории сел Троицкое, </w:t>
      </w:r>
      <w:proofErr w:type="spellStart"/>
      <w:r w:rsidRPr="00A855DD">
        <w:rPr>
          <w:rFonts w:ascii="Times New Roman" w:hAnsi="Times New Roman"/>
          <w:sz w:val="26"/>
          <w:szCs w:val="26"/>
        </w:rPr>
        <w:t>Ново-Троицкое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855DD">
        <w:rPr>
          <w:rFonts w:ascii="Times New Roman" w:hAnsi="Times New Roman"/>
          <w:sz w:val="26"/>
          <w:szCs w:val="26"/>
        </w:rPr>
        <w:t>Мицулёвка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, для ведения сельскохозяйственной деятельности, а также с просьбами об оказании помощи в решении земельных споров. 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       Наблюдается увеличение количества поступивших обращений граждан по тематике «Социальная сфера. Социальное обеспечение и социальное страхование», за счет заявлений от многодетных семей, нуждающихся в улучшении жилищных условий.  В  соответствии   с законом Сахалинской области  от 13.04.2012г.  № 124-ЗО «О бесплатном предоставлении земельных участков в собственность граждан, имеющих трех или более детей, и юридических лиц»,  за отчетный период многодетным семьям, проживающим на территории городского округа,    предоставлен  28 земельных  участков в г. Анива, с. </w:t>
      </w:r>
      <w:proofErr w:type="spellStart"/>
      <w:r w:rsidRPr="00A855DD">
        <w:rPr>
          <w:rFonts w:ascii="Times New Roman" w:hAnsi="Times New Roman"/>
          <w:sz w:val="26"/>
          <w:szCs w:val="26"/>
        </w:rPr>
        <w:t>Троицое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, с. </w:t>
      </w:r>
      <w:proofErr w:type="gramStart"/>
      <w:r w:rsidRPr="00A855DD">
        <w:rPr>
          <w:rFonts w:ascii="Times New Roman" w:hAnsi="Times New Roman"/>
          <w:sz w:val="26"/>
          <w:szCs w:val="26"/>
        </w:rPr>
        <w:t>Рыбацкое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.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В сфере градостроительства и архитектуры обращения граждан распределились  по  трем основным  тематикам:     благоустройство городов и поселков, обустройство придомовых территорий; газификация, водоснабжение, </w:t>
      </w:r>
      <w:proofErr w:type="spellStart"/>
      <w:r w:rsidRPr="00A855DD">
        <w:rPr>
          <w:rFonts w:ascii="Times New Roman" w:hAnsi="Times New Roman"/>
          <w:sz w:val="26"/>
          <w:szCs w:val="26"/>
        </w:rPr>
        <w:t>канализование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и электрификация поселений; жилищное строительство в поселках городского типа и на селе.  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</w:t>
      </w:r>
      <w:r w:rsidRPr="00A855DD">
        <w:rPr>
          <w:rFonts w:ascii="Times New Roman" w:hAnsi="Times New Roman"/>
          <w:sz w:val="26"/>
          <w:szCs w:val="26"/>
        </w:rPr>
        <w:tab/>
        <w:t>Основные причины  обращений  -  необходимость ремонта и благоустройства  дворовых территорий,  установки детских, спортивных площадок,  вопросы  уличного освещения, вопросы  о сроках  планируемого жилищного строительства в селах и г</w:t>
      </w:r>
      <w:proofErr w:type="gramStart"/>
      <w:r w:rsidRPr="00A855DD">
        <w:rPr>
          <w:rFonts w:ascii="Times New Roman" w:hAnsi="Times New Roman"/>
          <w:sz w:val="26"/>
          <w:szCs w:val="26"/>
        </w:rPr>
        <w:t>.А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нива, о  газификации сел и частного сектора  г.Анива, организации централизованного водоснабжения.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В сравнении с АППГ наблюдается увеличение количества обращений в сфере транспорта. В основном преобладают вопросы дорожного хозяйства.  Причины  обращений по указанной тематике  – необходимость  регулярного полива, отсыпки грунтовых дорог, содержание  и ремонт улично-дорожной сети. 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Для решения указанных вопросов принимаются следующие меры: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-постановлением администрации № 1994-па от 31.12.2013 года утвержден План дорожных работ в </w:t>
      </w:r>
      <w:proofErr w:type="spellStart"/>
      <w:r w:rsidRPr="00A855DD">
        <w:rPr>
          <w:rFonts w:ascii="Times New Roman" w:hAnsi="Times New Roman"/>
          <w:sz w:val="26"/>
          <w:szCs w:val="26"/>
        </w:rPr>
        <w:t>Анивском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городском округе на 2014 год, включающий в себя  мероприятия,  направленные на ремонт автомобильных дорог общего пользования, капитальный ремонт дорожного покрытия в населенных пунктах,  капитальный ремонт дворовых территорий;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lastRenderedPageBreak/>
        <w:t xml:space="preserve"> - постановлением № 73-па от 30.01.2014 года утвержден План работ по благоустройству  в </w:t>
      </w:r>
      <w:proofErr w:type="spellStart"/>
      <w:r w:rsidRPr="00A855DD">
        <w:rPr>
          <w:rFonts w:ascii="Times New Roman" w:hAnsi="Times New Roman"/>
          <w:sz w:val="26"/>
          <w:szCs w:val="26"/>
        </w:rPr>
        <w:t>Анивском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городском округе  на 2014г., включающие в себя  мероприятия, направленные на  благоустройство населенных пунктов округа: приобретение  и установка детских площадок, капитальный ремонт  линий уличного освещения, установка контейнеров под ТБО и пр.  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Изменения в количестве обращений граждан по другим вопросам являются незначительными. 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За отчётный период поступило 14 повторных обращений. В основном заявители не согласны с первоначальными ответами,  или направляли обращения по одному и тому же вопросу в  ряд различных  вышестоящих организаций, а также дублировали письменные обращения через интернет приемную.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В отчётном периоде из вышестоящих инстанций в администрацию Анивского городского округа поступило  112 обращений</w:t>
      </w:r>
      <w:proofErr w:type="gramStart"/>
      <w:r w:rsidRPr="00A855DD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 что на  14 % меньше,  чем в АППГ.</w:t>
      </w:r>
    </w:p>
    <w:tbl>
      <w:tblPr>
        <w:tblpPr w:leftFromText="180" w:rightFromText="180" w:vertAnchor="text" w:horzAnchor="margin" w:tblpXSpec="center" w:tblpY="247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6"/>
        <w:gridCol w:w="2548"/>
        <w:gridCol w:w="2247"/>
      </w:tblGrid>
      <w:tr w:rsidR="00A855DD" w:rsidRPr="00A855DD" w:rsidTr="00E16F38">
        <w:trPr>
          <w:trHeight w:val="418"/>
          <w:tblHeader/>
        </w:trPr>
        <w:tc>
          <w:tcPr>
            <w:tcW w:w="4946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8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55DD">
              <w:rPr>
                <w:rFonts w:ascii="Times New Roman" w:hAnsi="Times New Roman"/>
                <w:sz w:val="26"/>
                <w:szCs w:val="26"/>
              </w:rPr>
              <w:t>9 месяцев  2013 г.</w:t>
            </w:r>
          </w:p>
        </w:tc>
        <w:tc>
          <w:tcPr>
            <w:tcW w:w="2247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55DD">
              <w:rPr>
                <w:rFonts w:ascii="Times New Roman" w:hAnsi="Times New Roman"/>
                <w:sz w:val="26"/>
                <w:szCs w:val="26"/>
              </w:rPr>
              <w:t>9 месяцев  2014 г.</w:t>
            </w:r>
          </w:p>
        </w:tc>
      </w:tr>
      <w:tr w:rsidR="00A855DD" w:rsidRPr="00A855DD" w:rsidTr="00E16F38">
        <w:trPr>
          <w:trHeight w:val="352"/>
        </w:trPr>
        <w:tc>
          <w:tcPr>
            <w:tcW w:w="4946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Администрация Президента РФ</w:t>
            </w:r>
          </w:p>
        </w:tc>
        <w:tc>
          <w:tcPr>
            <w:tcW w:w="2548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7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855DD" w:rsidRPr="00A855DD" w:rsidTr="00E16F38">
        <w:trPr>
          <w:trHeight w:val="705"/>
        </w:trPr>
        <w:tc>
          <w:tcPr>
            <w:tcW w:w="4946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Правительство Сахалинской области, органы исполнительной власти</w:t>
            </w:r>
          </w:p>
        </w:tc>
        <w:tc>
          <w:tcPr>
            <w:tcW w:w="2548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247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A855DD" w:rsidRPr="00A855DD" w:rsidTr="00E16F38">
        <w:trPr>
          <w:trHeight w:val="352"/>
        </w:trPr>
        <w:tc>
          <w:tcPr>
            <w:tcW w:w="4946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Сахалинская  областная  Дума</w:t>
            </w:r>
          </w:p>
        </w:tc>
        <w:tc>
          <w:tcPr>
            <w:tcW w:w="2548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855DD" w:rsidRPr="00A855DD" w:rsidTr="00E16F38">
        <w:trPr>
          <w:trHeight w:val="705"/>
        </w:trPr>
        <w:tc>
          <w:tcPr>
            <w:tcW w:w="4946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Уполномоченный по правам ребенка при Президенте Российской Федерации</w:t>
            </w:r>
          </w:p>
        </w:tc>
        <w:tc>
          <w:tcPr>
            <w:tcW w:w="2548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7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855DD" w:rsidRPr="00A855DD" w:rsidTr="00E16F38">
        <w:trPr>
          <w:trHeight w:val="705"/>
        </w:trPr>
        <w:tc>
          <w:tcPr>
            <w:tcW w:w="4946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 xml:space="preserve">Общественная приемная  партии «Единая Россия» </w:t>
            </w:r>
          </w:p>
        </w:tc>
        <w:tc>
          <w:tcPr>
            <w:tcW w:w="2548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</w:tcPr>
          <w:p w:rsidR="00A855DD" w:rsidRPr="00A855DD" w:rsidRDefault="00A855DD" w:rsidP="00E16F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5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           Тематики обращений в вышестоящие инстанции касались вопросов оказания помощи в предоставлении жилья и улучшении жилищных условий, ненадлежащего содержания общего имущества, некачественного предоставления жилищно-коммунальных услуг, содействия в  предоставлении земельных участков.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В соответствии с графиками приема должностных лиц, ежемесячно публикуемых на сайте администрации и в газете «Утро Родины»,  в отчетном периоде принято 97  граждан  (АППГ  - 107).  Во время проведения  личных приемов,  граждане чаще всего обращались по вопросам переселения из ветхого и аварийного жилья, улучшения жилищных условий, предоставления земельных участков  для индивидуального жилищного строительства нежилых помещений, ведения сельского хозяйства.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В отчетном периоде мэром городского округа проведено  24</w:t>
      </w:r>
      <w:r w:rsidRPr="00A855DD">
        <w:rPr>
          <w:rFonts w:ascii="Times New Roman" w:hAnsi="Times New Roman"/>
          <w:b/>
          <w:sz w:val="26"/>
          <w:szCs w:val="26"/>
        </w:rPr>
        <w:t xml:space="preserve"> </w:t>
      </w:r>
      <w:r w:rsidRPr="00A855DD">
        <w:rPr>
          <w:rFonts w:ascii="Times New Roman" w:hAnsi="Times New Roman"/>
          <w:sz w:val="26"/>
          <w:szCs w:val="26"/>
        </w:rPr>
        <w:t xml:space="preserve"> встречи с населением: 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с. Огоньки –  18 человек, 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с. Воскресенское – 42 человек;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с. Высокое – 28человек;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с. </w:t>
      </w:r>
      <w:proofErr w:type="gramStart"/>
      <w:r w:rsidRPr="00A855DD">
        <w:rPr>
          <w:rFonts w:ascii="Times New Roman" w:hAnsi="Times New Roman"/>
          <w:sz w:val="26"/>
          <w:szCs w:val="26"/>
        </w:rPr>
        <w:t>Рыбацкое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 –  20 человек;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с. </w:t>
      </w:r>
      <w:proofErr w:type="spellStart"/>
      <w:r w:rsidRPr="00A855DD">
        <w:rPr>
          <w:rFonts w:ascii="Times New Roman" w:hAnsi="Times New Roman"/>
          <w:sz w:val="26"/>
          <w:szCs w:val="26"/>
        </w:rPr>
        <w:t>Мицулёвка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–  35 человек;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lastRenderedPageBreak/>
        <w:t xml:space="preserve">с. </w:t>
      </w:r>
      <w:proofErr w:type="spellStart"/>
      <w:proofErr w:type="gramStart"/>
      <w:r w:rsidRPr="00A855DD">
        <w:rPr>
          <w:rFonts w:ascii="Times New Roman" w:hAnsi="Times New Roman"/>
          <w:sz w:val="26"/>
          <w:szCs w:val="26"/>
        </w:rPr>
        <w:t>Ново-Троицкое</w:t>
      </w:r>
      <w:proofErr w:type="spellEnd"/>
      <w:proofErr w:type="gramEnd"/>
      <w:r w:rsidRPr="00A855DD">
        <w:rPr>
          <w:rFonts w:ascii="Times New Roman" w:hAnsi="Times New Roman"/>
          <w:sz w:val="26"/>
          <w:szCs w:val="26"/>
        </w:rPr>
        <w:t>,  - 45 чел;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с. </w:t>
      </w:r>
      <w:proofErr w:type="spellStart"/>
      <w:r w:rsidRPr="00A855DD">
        <w:rPr>
          <w:rFonts w:ascii="Times New Roman" w:hAnsi="Times New Roman"/>
          <w:sz w:val="26"/>
          <w:szCs w:val="26"/>
        </w:rPr>
        <w:t>Таранай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– 61 чел;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с. </w:t>
      </w:r>
      <w:proofErr w:type="gramStart"/>
      <w:r w:rsidRPr="00A855DD">
        <w:rPr>
          <w:rFonts w:ascii="Times New Roman" w:hAnsi="Times New Roman"/>
          <w:sz w:val="26"/>
          <w:szCs w:val="26"/>
        </w:rPr>
        <w:t>Петропавловское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 – 50 чел;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с. </w:t>
      </w:r>
      <w:proofErr w:type="gramStart"/>
      <w:r w:rsidRPr="00A855DD">
        <w:rPr>
          <w:rFonts w:ascii="Times New Roman" w:hAnsi="Times New Roman"/>
          <w:sz w:val="26"/>
          <w:szCs w:val="26"/>
        </w:rPr>
        <w:t>Троицкое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 – 35  чел;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с. </w:t>
      </w:r>
      <w:proofErr w:type="gramStart"/>
      <w:r w:rsidRPr="00A855DD">
        <w:rPr>
          <w:rFonts w:ascii="Times New Roman" w:hAnsi="Times New Roman"/>
          <w:sz w:val="26"/>
          <w:szCs w:val="26"/>
        </w:rPr>
        <w:t>Успенское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 –  75 чел;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с.  </w:t>
      </w:r>
      <w:proofErr w:type="spellStart"/>
      <w:r w:rsidRPr="00A855DD">
        <w:rPr>
          <w:rFonts w:ascii="Times New Roman" w:hAnsi="Times New Roman"/>
          <w:sz w:val="26"/>
          <w:szCs w:val="26"/>
        </w:rPr>
        <w:t>Песчанское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– 15 чел.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A855DD">
        <w:rPr>
          <w:rFonts w:ascii="Times New Roman" w:hAnsi="Times New Roman"/>
          <w:sz w:val="26"/>
          <w:szCs w:val="26"/>
        </w:rPr>
        <w:t>Наиболее частыми на таких встречах  являются вопросы: переселения из ветхого и аварийного жилья  и капитального ремонта жилфонда, благоустройства района и дворовых территорий, уборки территорий от мусора,  оплаты коммунальных услуг, ремонта улично-дорожной сети и освещения, газификации поселков, работа управляющих компаний, обеспечение жителей качественными коммунальными услугами.</w:t>
      </w:r>
      <w:proofErr w:type="gramEnd"/>
      <w:r w:rsidRPr="00A855DD">
        <w:rPr>
          <w:rFonts w:ascii="Times New Roman" w:hAnsi="Times New Roman"/>
          <w:sz w:val="26"/>
          <w:szCs w:val="26"/>
        </w:rPr>
        <w:t xml:space="preserve">  По итогам встреч  составлены протоколы с критическими замечаниями,  обозначенными жителями, которые находится на контроле мэра городского округа.  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За отчетный период  разъяснено 331 письменных и устных обращений,   отказано  - 3,  решено положительно - 28 обращений.</w:t>
      </w:r>
    </w:p>
    <w:p w:rsidR="00A855DD" w:rsidRPr="00A855DD" w:rsidRDefault="00A855DD" w:rsidP="00A855DD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За отчетный период проведены 23 «прямые» телефонных  линий по вопросам: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- предоставление жилищно-коммунальных услуг населению Анивского городского округа управляющими и </w:t>
      </w:r>
      <w:proofErr w:type="spellStart"/>
      <w:r w:rsidRPr="00A855DD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 организациями  (оплата жилищно-коммунальных услуг); 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- благоустройство и санитарное содержание населенных пунктов;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- выдача градостроительных планов земельных участков;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- предоставление земельных участков в собственность за плату, расположенных под  зданиями, строениями и сооружениями; 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- регистрация физических лиц на Портале государственных  и муниципальных услуг;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 - согласование схемы расположения земельного участка, расположенного на территории   Анивского городского округа;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- предоставление земельных участков в аренду из земель сельскохозяйственного назначения для организаций и ведения крестьянского (фермерского) хозяйства;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-  предоставление земельных участков в собственность многодетным семьям, в целях реализации Закона Сахалинской области  от 13.04.2012г.  № 124- ЗО «О бесплатном предоставлении земельных участков в собственность граждан, имеющих трех или более детей, и юридических лиц»;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- вопросы благоустройства муниципального образования Анивский городской округ (ремонт дорог, дворовых территорий, установка детских площадок);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 xml:space="preserve">- предоставление жилищно-коммунальных услуг населению Анивского городского округа  управляющими и </w:t>
      </w:r>
      <w:proofErr w:type="spellStart"/>
      <w:r w:rsidRPr="00A855DD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A855DD">
        <w:rPr>
          <w:rFonts w:ascii="Times New Roman" w:hAnsi="Times New Roman"/>
          <w:sz w:val="26"/>
          <w:szCs w:val="26"/>
        </w:rPr>
        <w:t xml:space="preserve"> организациями (оплата жилищно-коммунальных услуг);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-  о  деятельности муниципальных учреждений культуры;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lastRenderedPageBreak/>
        <w:t xml:space="preserve"> - осуществление  муниципального жилищного контроля на территории Анивского городского округа;</w:t>
      </w:r>
    </w:p>
    <w:p w:rsidR="00A855DD" w:rsidRPr="00A855D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855DD">
        <w:rPr>
          <w:rFonts w:ascii="Times New Roman" w:hAnsi="Times New Roman"/>
          <w:sz w:val="26"/>
          <w:szCs w:val="26"/>
        </w:rPr>
        <w:t>-  организация отдыха детей в каникулярное время;</w:t>
      </w:r>
    </w:p>
    <w:p w:rsidR="00A855DD" w:rsidRPr="00A855DD" w:rsidRDefault="00A855DD" w:rsidP="00A855D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5DD">
        <w:rPr>
          <w:rFonts w:ascii="Times New Roman" w:hAnsi="Times New Roman" w:cs="Times New Roman"/>
          <w:sz w:val="26"/>
          <w:szCs w:val="26"/>
        </w:rPr>
        <w:t xml:space="preserve">Во время проведения прямых телефонных линий специалистами администрации  даны разъяснения по  28-ми  обращениям граждан. </w:t>
      </w:r>
    </w:p>
    <w:p w:rsidR="00A855DD" w:rsidRPr="00A855DD" w:rsidRDefault="00A855DD" w:rsidP="00A855D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5DD">
        <w:rPr>
          <w:rFonts w:ascii="Times New Roman" w:hAnsi="Times New Roman" w:cs="Times New Roman"/>
          <w:sz w:val="26"/>
          <w:szCs w:val="26"/>
        </w:rPr>
        <w:t>Обращений граждан по исполнению  Федерального закона от 09 февраля 2009 года № 8-ФЗ «Об обеспечении доступа к информации о деятельности государственных органов и органов местного самоуправления» и неисполнения судебных решений  в отчетном периоде не поступало.</w:t>
      </w:r>
    </w:p>
    <w:p w:rsidR="00A855DD" w:rsidRPr="002245ED" w:rsidRDefault="00A855DD" w:rsidP="00A855DD">
      <w:pPr>
        <w:jc w:val="both"/>
        <w:rPr>
          <w:sz w:val="26"/>
          <w:szCs w:val="26"/>
        </w:rPr>
      </w:pPr>
    </w:p>
    <w:p w:rsidR="00A855DD" w:rsidRPr="002245ED" w:rsidRDefault="00A855DD" w:rsidP="00A855D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E86A4B" w:rsidRDefault="00E86A4B"/>
    <w:sectPr w:rsidR="00E86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55DD"/>
    <w:rsid w:val="00A855DD"/>
    <w:rsid w:val="00E86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855D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2122</Words>
  <Characters>12097</Characters>
  <Application>Microsoft Office Word</Application>
  <DocSecurity>0</DocSecurity>
  <Lines>100</Lines>
  <Paragraphs>28</Paragraphs>
  <ScaleCrop>false</ScaleCrop>
  <Company>Microsoft</Company>
  <LinksUpToDate>false</LinksUpToDate>
  <CharactersWithSpaces>14191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Лера</dc:creator>
  <cp:keywords/>
  <dc:description/>
  <cp:lastModifiedBy>Лера</cp:lastModifiedBy>
  <cp:revision>2</cp:revision>
  <dcterms:created xsi:type="dcterms:W3CDTF">2014-10-13T07:13:00Z</dcterms:created>
  <dcterms:modified xsi:type="dcterms:W3CDTF">2014-10-13T07:17:00Z</dcterms:modified>
</cp:coreProperties>
</file>